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E3B" w:rsidRPr="00D7272C" w:rsidRDefault="005D0E3B" w:rsidP="00D7272C">
      <w:pPr>
        <w:pStyle w:val="berschrift1"/>
        <w:spacing w:before="240" w:after="240"/>
        <w:ind w:left="425" w:hanging="425"/>
        <w:rPr>
          <w:rFonts w:ascii="Arial" w:hAnsi="Arial"/>
          <w:b/>
          <w:caps w:val="0"/>
          <w:sz w:val="24"/>
        </w:rPr>
      </w:pPr>
      <w:r w:rsidRPr="00D7272C">
        <w:rPr>
          <w:rFonts w:ascii="Arial" w:hAnsi="Arial"/>
          <w:b/>
          <w:caps w:val="0"/>
          <w:sz w:val="24"/>
        </w:rPr>
        <w:t>I.</w:t>
      </w:r>
      <w:r w:rsidRPr="00D7272C">
        <w:rPr>
          <w:rFonts w:ascii="Arial" w:hAnsi="Arial"/>
          <w:b/>
          <w:caps w:val="0"/>
          <w:sz w:val="24"/>
        </w:rPr>
        <w:tab/>
        <w:t>Rechtslage bei Beamten</w:t>
      </w:r>
    </w:p>
    <w:p w:rsidR="005D0E3B" w:rsidRDefault="005D0E3B" w:rsidP="005D0E3B">
      <w:r>
        <w:t>Beamtinnen und Beamte müssen jeden Anschein vermeiden, im Rahmen ihrer Amtsführung für persönliche Vorteile empfänglich zu sein. Nach § 42 des Beamtenstatusgesetzes (BeamtStG) dürfen Beamtinnen und Beamte, auch nach Beendigung des Beamtenverhältnisses, Belohnungen oder Geschenke in Bezug auf ihr Amt nur mit Zustimmung der zuständigen Dienstbehörde annehmen.</w:t>
      </w:r>
    </w:p>
    <w:p w:rsidR="005D0E3B" w:rsidRDefault="005D0E3B" w:rsidP="005D0E3B">
      <w:r>
        <w:t>Ein Verstoß gegen diese Vorschrift stellt bei Beamtinnen und Beamten ein Dienstvergehen dar (§ 47 Abs. 1 BeamtStG). Bei Ruhestandsbeamtinnen, Ru</w:t>
      </w:r>
      <w:r>
        <w:t>hestandsbeamten, früheren Beam</w:t>
      </w:r>
      <w:r>
        <w:t>tinnen mit Versorgungsbezügen oder früheren Beamten mit Versorgungsbezügen gilt es nach § 47 Abs. 2 Satz 1 BeamtStG als Dienstvergehen, wenn sie gegen das Verbot der Annahme von Belohnungen oder Geschenken in Bezug auf ihr früheres Amt verstoßen.</w:t>
      </w:r>
    </w:p>
    <w:p w:rsidR="005D0E3B" w:rsidRPr="00D7272C" w:rsidRDefault="005D0E3B" w:rsidP="00D7272C">
      <w:pPr>
        <w:pStyle w:val="berschrift1"/>
        <w:spacing w:before="240" w:after="240"/>
        <w:ind w:left="425" w:hanging="425"/>
        <w:rPr>
          <w:rFonts w:ascii="Arial" w:hAnsi="Arial"/>
          <w:b/>
          <w:caps w:val="0"/>
          <w:sz w:val="24"/>
        </w:rPr>
      </w:pPr>
      <w:r w:rsidRPr="00D7272C">
        <w:rPr>
          <w:rFonts w:ascii="Arial" w:hAnsi="Arial"/>
          <w:b/>
          <w:caps w:val="0"/>
          <w:sz w:val="24"/>
        </w:rPr>
        <w:t>II.</w:t>
      </w:r>
      <w:r w:rsidRPr="00D7272C">
        <w:rPr>
          <w:rFonts w:ascii="Arial" w:hAnsi="Arial"/>
          <w:b/>
          <w:caps w:val="0"/>
          <w:sz w:val="24"/>
        </w:rPr>
        <w:tab/>
        <w:t>Rechtsfolgen</w:t>
      </w:r>
    </w:p>
    <w:p w:rsidR="005D0E3B" w:rsidRDefault="005D0E3B" w:rsidP="001165C3">
      <w:pPr>
        <w:ind w:left="284" w:hanging="284"/>
      </w:pPr>
      <w:r>
        <w:t>1.</w:t>
      </w:r>
      <w:r>
        <w:tab/>
        <w:t>Freiheits- bzw. Geldstrafe</w:t>
      </w:r>
      <w:r w:rsidR="001165C3">
        <w:br/>
      </w:r>
      <w:r>
        <w:t xml:space="preserve">Beamtinnen oder Beamte, die für eine im Zusammenhang mit ihrem Amt stehende, an </w:t>
      </w:r>
      <w:r>
        <w:t>sich nicht pflichtwidrige Hand</w:t>
      </w:r>
      <w:r>
        <w:t>lung einen Vorteil anneh</w:t>
      </w:r>
      <w:r>
        <w:t>men, fordern oder sich verspre</w:t>
      </w:r>
      <w:r>
        <w:t>chen lassen, machen sich der Vorteilsannahme strafbar, die nach § 331 StGB mit Geldstrafe oder mit Freiheitsstrafe bis zu drei Jahren bestraft wird. Enthält die Handlung, für die Beamtinnen und Beam</w:t>
      </w:r>
      <w:r>
        <w:t>te einen Vorteil annehmen, for</w:t>
      </w:r>
      <w:r>
        <w:t>dern oder sich versprechen lassen, eine Verletzung ihrer Dienstpflichten, so ist der Tatbestand der Bestechlichkeit gegeben, für die § 332 StGB eine Freiheitsstrafe von sechs Monaten bis zu fünf Jahren androht; bereits der Versuch ist strafbar.</w:t>
      </w:r>
    </w:p>
    <w:p w:rsidR="005D0E3B" w:rsidRDefault="005D0E3B" w:rsidP="001165C3">
      <w:pPr>
        <w:ind w:left="284" w:hanging="284"/>
      </w:pPr>
      <w:r>
        <w:t>2.</w:t>
      </w:r>
      <w:r>
        <w:tab/>
        <w:t>Weitere Rechtsfolgen</w:t>
      </w:r>
      <w:r w:rsidR="001165C3">
        <w:br/>
      </w:r>
      <w:r>
        <w:t xml:space="preserve">Neben der Verhängung einer Geld- oder Freiheitsstrafe sind weitere Rechtsfolgen gesetzlich vorgesehen, z.B., dass das </w:t>
      </w:r>
      <w:r>
        <w:t>Eigentum an de</w:t>
      </w:r>
      <w:r>
        <w:t>m aus der rechtswidrigen Tat Er</w:t>
      </w:r>
      <w:r>
        <w:t>langten auf den Staat übergeht (Verfall, §§ 73 ff. StGB). Werden Beamtinnen oder Beamte wegen Vorteilsnahme oder Bestechlichkeit zu einer Freiheitsstrafe von einem Jahr oder längerer Dauer</w:t>
      </w:r>
      <w:r>
        <w:t xml:space="preserve"> verurteilt, so endet das Beam</w:t>
      </w:r>
      <w:r>
        <w:t xml:space="preserve">tenverhältnis kraft Gesetzes mit der Rechtskraft des Urteils (§ 24 BeamtStG). Dies gilt </w:t>
      </w:r>
      <w:r>
        <w:t>auch bei einer Verurteilung we</w:t>
      </w:r>
      <w:r>
        <w:t>gen Bestechlichkeit zu ei</w:t>
      </w:r>
      <w:r>
        <w:t>ner Freiheitsstrafe von mindes</w:t>
      </w:r>
      <w:r>
        <w:t>tens sechs Monaten, sowei</w:t>
      </w:r>
      <w:r>
        <w:t>t sich die Tat auf eine Dienst</w:t>
      </w:r>
      <w:r>
        <w:t>handlung im Hauptamt be</w:t>
      </w:r>
      <w:r>
        <w:t>zieht. Sind Beamtinnen oder Be</w:t>
      </w:r>
      <w:r>
        <w:t>amte nach Begehung der Tat in den Ruhestand getreten, so verlieren sie mit der Rechtskraft der Entscheidung ihre Rechte als Ruhestand</w:t>
      </w:r>
      <w:r>
        <w:t>sbeamtinnen und Ruhestandsbeam</w:t>
      </w:r>
      <w:r>
        <w:t>te (§ 59 des Beamtenversorgungsgesetzes – BeamtVG in der Fassung der Bekanntmachung vom 16. März 1999, BGBl I S. 322, 847, 2033, zuletzt geändert durch Art. 6 des Gesetzes vom 3. April 2009</w:t>
      </w:r>
      <w:r>
        <w:t>, BGBl I S. 700). Wird eine ge</w:t>
      </w:r>
      <w:r>
        <w:t xml:space="preserve">ringere Strafe verhängt, so </w:t>
      </w:r>
      <w:r>
        <w:t>wird in der Regel ein Diszipli</w:t>
      </w:r>
      <w:r>
        <w:t>narverfahren durchgef</w:t>
      </w:r>
      <w:r>
        <w:t>ührt, bei dem Beamtinnen und Be</w:t>
      </w:r>
      <w:r>
        <w:t>amte mit der Entfernun</w:t>
      </w:r>
      <w:r>
        <w:t>g aus dem Dienst, Ruhestandsbe</w:t>
      </w:r>
      <w:r>
        <w:t>amtinnen und Ruhestandsbeamte mit der Aberkennung des Ruhegehalts rechnen müssen. Darüber hinaus haften Beamtinnen und Beamte für den durch ihre rechtswidrige und schuldhafte Tat entstandenen Schaden (§ 48 BeamtStG).</w:t>
      </w:r>
    </w:p>
    <w:p w:rsidR="005D0E3B" w:rsidRPr="00D7272C" w:rsidRDefault="005D0E3B" w:rsidP="00D7272C">
      <w:pPr>
        <w:pStyle w:val="berschrift1"/>
        <w:spacing w:before="240" w:after="240"/>
        <w:ind w:left="425" w:hanging="425"/>
        <w:rPr>
          <w:rFonts w:ascii="Arial" w:hAnsi="Arial"/>
          <w:b/>
          <w:caps w:val="0"/>
          <w:sz w:val="24"/>
        </w:rPr>
      </w:pPr>
      <w:r w:rsidRPr="00D7272C">
        <w:rPr>
          <w:rFonts w:ascii="Arial" w:hAnsi="Arial"/>
          <w:b/>
          <w:caps w:val="0"/>
          <w:sz w:val="24"/>
        </w:rPr>
        <w:t>III.</w:t>
      </w:r>
      <w:r w:rsidR="00030CA0" w:rsidRPr="00D7272C">
        <w:rPr>
          <w:rFonts w:ascii="Arial" w:hAnsi="Arial"/>
          <w:b/>
          <w:caps w:val="0"/>
          <w:sz w:val="24"/>
        </w:rPr>
        <w:tab/>
      </w:r>
      <w:r w:rsidRPr="00D7272C">
        <w:rPr>
          <w:rFonts w:ascii="Arial" w:hAnsi="Arial"/>
          <w:b/>
          <w:caps w:val="0"/>
          <w:sz w:val="24"/>
        </w:rPr>
        <w:t>Erläuterungen</w:t>
      </w:r>
    </w:p>
    <w:p w:rsidR="005D0E3B" w:rsidRDefault="005D0E3B" w:rsidP="005D0E3B">
      <w:r>
        <w:t>Zur Erläuterung des § 42 BeamtStG wird im Einzelnen auf Folgendes hingewiesen:</w:t>
      </w:r>
    </w:p>
    <w:p w:rsidR="005D0E3B" w:rsidRDefault="005D0E3B" w:rsidP="005D0E3B">
      <w:pPr>
        <w:pStyle w:val="Listenabsatz"/>
        <w:numPr>
          <w:ilvl w:val="0"/>
          <w:numId w:val="2"/>
        </w:numPr>
        <w:ind w:left="284" w:hanging="284"/>
      </w:pPr>
      <w:r>
        <w:t>„Belohnungen“ oder „Geschenke“ im Sinne des § 42 BeamtStG sind alle unentgeltlichen Zuwendungen, auf die Beamtinnen und Beamte keinen gesetzlich begründeten Anspruch haben und die sie materiell oder auch immateriell obj</w:t>
      </w:r>
      <w:r>
        <w:t xml:space="preserve">ektiv </w:t>
      </w:r>
      <w:proofErr w:type="gramStart"/>
      <w:r>
        <w:t>besser stellen</w:t>
      </w:r>
      <w:proofErr w:type="gramEnd"/>
      <w:r>
        <w:t xml:space="preserve"> (Vorteil). </w:t>
      </w:r>
      <w:r>
        <w:t>Unentgeltlich ist eine Zuwendung auch dann, wenn zwar eine Gegenleistung erfolgt, diese a</w:t>
      </w:r>
      <w:r>
        <w:t>ber in keinem angemessenen Ver</w:t>
      </w:r>
      <w:r>
        <w:t>hältnis zur gewährten Leistung steht.</w:t>
      </w:r>
    </w:p>
    <w:p w:rsidR="005D0E3B" w:rsidRDefault="005D0E3B" w:rsidP="005D0E3B">
      <w:r>
        <w:lastRenderedPageBreak/>
        <w:t>Ein derartiger Vorteil kann liegen in</w:t>
      </w:r>
    </w:p>
    <w:p w:rsidR="005D0E3B" w:rsidRDefault="005D0E3B" w:rsidP="005D0E3B">
      <w:pPr>
        <w:pStyle w:val="Listenabsatz"/>
        <w:numPr>
          <w:ilvl w:val="0"/>
          <w:numId w:val="1"/>
        </w:numPr>
      </w:pPr>
      <w:r>
        <w:t>der Zahlung von Geld,</w:t>
      </w:r>
    </w:p>
    <w:p w:rsidR="005D0E3B" w:rsidRDefault="005D0E3B" w:rsidP="005D0E3B">
      <w:pPr>
        <w:pStyle w:val="Listenabsatz"/>
        <w:numPr>
          <w:ilvl w:val="0"/>
          <w:numId w:val="1"/>
        </w:numPr>
      </w:pPr>
      <w:r>
        <w:t>der Überlassung von Gutscheinen oder von Gegenständen (z.B. Baumaschinen, Fahrzeuge) zum privaten Gebrauch,</w:t>
      </w:r>
    </w:p>
    <w:p w:rsidR="005D0E3B" w:rsidRDefault="005D0E3B" w:rsidP="005D0E3B">
      <w:pPr>
        <w:pStyle w:val="Listenabsatz"/>
        <w:numPr>
          <w:ilvl w:val="0"/>
          <w:numId w:val="1"/>
        </w:numPr>
      </w:pPr>
      <w:r>
        <w:t>besonderen Vergünstigungen bei Privatgeschäften,</w:t>
      </w:r>
    </w:p>
    <w:p w:rsidR="005D0E3B" w:rsidRDefault="005D0E3B" w:rsidP="005D0E3B">
      <w:pPr>
        <w:pStyle w:val="Listenabsatz"/>
        <w:numPr>
          <w:ilvl w:val="0"/>
          <w:numId w:val="1"/>
        </w:numPr>
      </w:pPr>
      <w:r>
        <w:t>der Gewährung von Rabatten, die nicht allen Angehörigen des öffentlichen Dienstes oder einer allgemeinen Berufs- gruppe, der die oder der Bedi</w:t>
      </w:r>
      <w:r>
        <w:t>enstete angehört, generell ein</w:t>
      </w:r>
      <w:r>
        <w:t>geräumt werden,</w:t>
      </w:r>
    </w:p>
    <w:p w:rsidR="005D0E3B" w:rsidRDefault="005D0E3B" w:rsidP="005D0E3B">
      <w:pPr>
        <w:pStyle w:val="Listenabsatz"/>
        <w:numPr>
          <w:ilvl w:val="0"/>
          <w:numId w:val="1"/>
        </w:numPr>
      </w:pPr>
      <w:r>
        <w:t>der Zahlung unverhältnismäßig hoher Vergütungen für - auch genehmigte - private Nebentätigkeiten (z.B. Gutachten, Erstellung von Abrechnungen),</w:t>
      </w:r>
    </w:p>
    <w:p w:rsidR="005D0E3B" w:rsidRDefault="005D0E3B" w:rsidP="005D0E3B">
      <w:pPr>
        <w:pStyle w:val="Listenabsatz"/>
        <w:numPr>
          <w:ilvl w:val="0"/>
          <w:numId w:val="1"/>
        </w:numPr>
      </w:pPr>
      <w:r>
        <w:t>der Mitnahme auf Urlaubsreisen,</w:t>
      </w:r>
    </w:p>
    <w:p w:rsidR="005D0E3B" w:rsidRDefault="005D0E3B" w:rsidP="005D0E3B">
      <w:pPr>
        <w:pStyle w:val="Listenabsatz"/>
        <w:numPr>
          <w:ilvl w:val="0"/>
          <w:numId w:val="1"/>
        </w:numPr>
      </w:pPr>
      <w:r>
        <w:t>Bewirtungen,</w:t>
      </w:r>
    </w:p>
    <w:p w:rsidR="005D0E3B" w:rsidRDefault="005D0E3B" w:rsidP="005D0E3B">
      <w:pPr>
        <w:pStyle w:val="Listenabsatz"/>
        <w:numPr>
          <w:ilvl w:val="0"/>
          <w:numId w:val="1"/>
        </w:numPr>
      </w:pPr>
      <w:r>
        <w:t>der Gewährung von Unterkunft,</w:t>
      </w:r>
    </w:p>
    <w:p w:rsidR="005D0E3B" w:rsidRDefault="005D0E3B" w:rsidP="005D0E3B">
      <w:pPr>
        <w:pStyle w:val="Listenabsatz"/>
        <w:numPr>
          <w:ilvl w:val="0"/>
          <w:numId w:val="1"/>
        </w:numPr>
      </w:pPr>
      <w:r>
        <w:t>dem Bedenken mit einem Vermächtnis sowie</w:t>
      </w:r>
    </w:p>
    <w:p w:rsidR="005D0E3B" w:rsidRDefault="005D0E3B" w:rsidP="005D0E3B">
      <w:pPr>
        <w:pStyle w:val="Listenabsatz"/>
        <w:numPr>
          <w:ilvl w:val="0"/>
          <w:numId w:val="1"/>
        </w:numPr>
      </w:pPr>
      <w:r>
        <w:t>sonstigen Zuwendungen jeder Art.</w:t>
      </w:r>
    </w:p>
    <w:p w:rsidR="005D0E3B" w:rsidRDefault="005D0E3B" w:rsidP="005D0E3B">
      <w:r>
        <w:t>Es kommt nicht darauf an, ob der Vorteil von der zuwendenden Person unmittelbar oder in ihrem Auftrag von Dritten gewährt wird. Für die Anwendbarkeit d</w:t>
      </w:r>
      <w:r>
        <w:t>es § 42 BeamtStG ist es auch oh</w:t>
      </w:r>
      <w:r>
        <w:t xml:space="preserve">ne Bedeutung, ob der Vorteil den Beamtinnen und Beamten unmittelbar oder - z.B. bei Zuwendungen an Angehörige - nur mittelbar </w:t>
      </w:r>
      <w:proofErr w:type="spellStart"/>
      <w:proofErr w:type="gramStart"/>
      <w:r>
        <w:t>zugute kommt</w:t>
      </w:r>
      <w:proofErr w:type="spellEnd"/>
      <w:proofErr w:type="gramEnd"/>
      <w:r>
        <w:t>. Die Weitergabe von Vorteilen an Dritte,</w:t>
      </w:r>
    </w:p>
    <w:p w:rsidR="005D0E3B" w:rsidRDefault="005D0E3B" w:rsidP="005D0E3B">
      <w:r>
        <w:t>z.B. Verwandte, Bekannte, andere Bedienstete oder soziale Einrichtungen, „rechtfertigt“ n</w:t>
      </w:r>
      <w:r>
        <w:t>icht deren Annahme; auch in die</w:t>
      </w:r>
      <w:r>
        <w:t>sen Fällen ist die Zustimmung</w:t>
      </w:r>
      <w:r>
        <w:t xml:space="preserve"> der zuständigen Behörde erfor</w:t>
      </w:r>
      <w:r>
        <w:t>derlich.</w:t>
      </w:r>
    </w:p>
    <w:p w:rsidR="005D0E3B" w:rsidRDefault="005D0E3B" w:rsidP="005D0E3B">
      <w:pPr>
        <w:ind w:left="284" w:hanging="284"/>
      </w:pPr>
      <w:r>
        <w:t>2.</w:t>
      </w:r>
      <w:r>
        <w:tab/>
        <w:t>„In Bezug auf das Amt“ im Sinn des § 42 BeamtStG ist ein Vorteil immer dann gewährt, wenn die zuwendende Person sich davon leiten lässt, dass Beam</w:t>
      </w:r>
      <w:r>
        <w:t>tinnen oder Beamte ein bestimm</w:t>
      </w:r>
      <w:r>
        <w:t>tes Amt bekleiden oder bekleide</w:t>
      </w:r>
      <w:r>
        <w:t>t haben. Ein Bezug zu einer be</w:t>
      </w:r>
      <w:r>
        <w:t>stimmten Amtshandlung ist nich</w:t>
      </w:r>
      <w:r>
        <w:t>t erforderlich. Zum „Amt“ gehö</w:t>
      </w:r>
      <w:r>
        <w:t>ren auch jedes Nebenamt und jede sonstige auf Verlangen, Vorschlag oder Veranlassung</w:t>
      </w:r>
      <w:r>
        <w:t xml:space="preserve"> des Dienstvorgesetzten ausgeüb</w:t>
      </w:r>
      <w:r>
        <w:t>te oder im Zusammenhang mit den dienstlichen Aufgaben der Beamtinnen und Beamten stehende Nebentätigkeit. Vorteile, die ausschließlich mit Rücksicht auf</w:t>
      </w:r>
      <w:r>
        <w:t xml:space="preserve"> Beziehungen innerhalb der pri</w:t>
      </w:r>
      <w:r>
        <w:t xml:space="preserve">vaten Sphäre </w:t>
      </w:r>
      <w:r>
        <w:t>der Beamtinnen oder Beamten gewährt werden, sind nicht „in Bezug auf das Am</w:t>
      </w:r>
      <w:r>
        <w:t>t“ gewährt. Derartige Beziehun</w:t>
      </w:r>
      <w:r>
        <w:t xml:space="preserve">gen dürfen aber nicht mit Erwartungen in </w:t>
      </w:r>
      <w:r>
        <w:t>Bezug auf die dienstli</w:t>
      </w:r>
      <w:r>
        <w:t>che Tätigkeit der Beamtinnen o</w:t>
      </w:r>
      <w:r>
        <w:t>der Beamten verknüpft sein. Er</w:t>
      </w:r>
      <w:r>
        <w:t>kennen Beamtinnen oder Beamte, dass an den persönlichen Verkehr derartige Erwartungen g</w:t>
      </w:r>
      <w:r>
        <w:t>eknüpft werden, dürfen sie wei</w:t>
      </w:r>
      <w:r>
        <w:t>tere Vorteile nicht mehr annehmen. Die unter Nummer</w:t>
      </w:r>
      <w:r>
        <w:t xml:space="preserve"> 3 darge</w:t>
      </w:r>
      <w:r>
        <w:t>stellte Verpflichtung, die Dienst</w:t>
      </w:r>
      <w:r>
        <w:t>vorgesetzte oder den Dienstvor</w:t>
      </w:r>
      <w:r>
        <w:t>gesetzten von versuchten Einflussnahmen auf die Amtsführung zu unterrichten, gilt auch hier.</w:t>
      </w:r>
    </w:p>
    <w:p w:rsidR="005D0E3B" w:rsidRDefault="005D0E3B" w:rsidP="005D0E3B">
      <w:pPr>
        <w:ind w:left="284" w:hanging="284"/>
      </w:pPr>
      <w:r>
        <w:t>3.</w:t>
      </w:r>
      <w:r>
        <w:tab/>
        <w:t>Beamtinnen und Beamte dürfen eine nach § 42 BeamtStG zustimmungsbedürftige Zuwendung, die nicht nach Nummer 5 als stillschweigend genehmigt anzusehen ist, erst annehmen, wenn die Zustimmung der zuständigen Behörde vorliegt. Kann die Zustimmung nicht rechtzeiti</w:t>
      </w:r>
      <w:r>
        <w:t>g herbeigeführt werden, so dür</w:t>
      </w:r>
      <w:r>
        <w:t>fen Beamtinnen und Beamte die Zuwendung ausnahmsweise vorläufig annehmen, müsse</w:t>
      </w:r>
      <w:r>
        <w:t>n aber um die Zustimmung unver</w:t>
      </w:r>
      <w:r>
        <w:t>züglich nachsuchen. Haben Beamtinnen oder Beamte Zweifel, ob die Annahme eines Vorteils unter § 42 BeamtStG fällt oder stillschweigend genehmigt ist, so haben sie die Genehmigung nach § 42 BeamtStG zu beantragen. Darüber hinaus sind sie verpflichtet, über jeden Versuch, ihre Amtsführung durch das Angebot von Geschenken oder Belohnungen zu beeinflussen, ihre Dienstvorgesetzte oder ihr</w:t>
      </w:r>
      <w:r>
        <w:t>en Dienstvorgesetzten zu unter</w:t>
      </w:r>
      <w:r>
        <w:t>richten.</w:t>
      </w:r>
    </w:p>
    <w:p w:rsidR="005D0E3B" w:rsidRDefault="005D0E3B" w:rsidP="005D0E3B">
      <w:pPr>
        <w:ind w:left="284" w:hanging="284"/>
      </w:pPr>
      <w:r>
        <w:t>4.</w:t>
      </w:r>
      <w:r>
        <w:tab/>
        <w:t>Die Zustimmung zur Annahme eines Vorteils darf nur erteilt werden, wenn nach der Lage des Falles nicht zu besorgen ist,</w:t>
      </w:r>
      <w:r>
        <w:t xml:space="preserve"> </w:t>
      </w:r>
      <w:r>
        <w:t xml:space="preserve">dass die Annahme die </w:t>
      </w:r>
      <w:r>
        <w:t>objektive Amtsführung der Beam</w:t>
      </w:r>
      <w:r>
        <w:t>tinnen oder Beamten beein</w:t>
      </w:r>
      <w:r>
        <w:t>trächtigt oder bei dritten Per</w:t>
      </w:r>
      <w:r>
        <w:t>sonen, die von der Zuwendung Kenntnis erlangen, den Eindruck ihrer Befangenheit entstehen lassen könnte. Die Zustimmung darf insbesondere nicht erteilt werden, wenn mit der Zuwendung von Seiten der zuwendenden Person erkennbar eine Beeinflussung des amtlichen Handelns beabsichtigt ist oder in dieser Hinsicht Zweifel bestehen. Die Zustimmung kann mit der Auflage erteilt werden, die Zuwendung an eine sozi</w:t>
      </w:r>
      <w:r>
        <w:t>ale Einrichtung, an den Dienst</w:t>
      </w:r>
      <w:r>
        <w:t xml:space="preserve">herrn </w:t>
      </w:r>
      <w:r>
        <w:lastRenderedPageBreak/>
        <w:t xml:space="preserve">oder eine sonstige Körperschaft, </w:t>
      </w:r>
      <w:r>
        <w:t>Anstalt oder Stif</w:t>
      </w:r>
      <w:r>
        <w:t>tung des öffentlichen Rechts weiterzugeben; in der Regel wird es zweckmäßig sein, die zuwendende Person von der Weitergabe der Zuwe</w:t>
      </w:r>
      <w:r>
        <w:t>ndung zu unterrichten. Eine Zu</w:t>
      </w:r>
      <w:r>
        <w:t>stimmung soll schriftlich erteilt werden.</w:t>
      </w:r>
      <w:r>
        <w:t xml:space="preserve"> </w:t>
      </w:r>
      <w:r>
        <w:br/>
      </w:r>
      <w:r>
        <w:t>Die Zustimmung der zuständigen Behörde zur Annahme eines Vorteils schließt jedoch die Strafbarkeit der Tat nicht aus, wenn der Vorteil von der Beamtin oder dem Beamten gefordert worden ist oder die Gegenleistung für eine vergangene oder kü</w:t>
      </w:r>
      <w:r>
        <w:t>nftige pflichtwidrige Amtshand</w:t>
      </w:r>
      <w:r>
        <w:t>lung darstellt.</w:t>
      </w:r>
    </w:p>
    <w:p w:rsidR="005D0E3B" w:rsidRDefault="005D0E3B" w:rsidP="005D0E3B">
      <w:pPr>
        <w:ind w:left="284" w:hanging="284"/>
      </w:pPr>
      <w:r>
        <w:t>5.</w:t>
      </w:r>
      <w:r>
        <w:tab/>
        <w:t>Die Annahme von nach allgemeiner Auffassung nicht zu beanstandenden geringwertigen Aufmerksamkeiten sowie von Geschenken aus dem Mitarbeiterkreis der Beamtin oder des Beamten (z</w:t>
      </w:r>
      <w:r>
        <w:t>.B. aus Anlass eines Dienstjubi</w:t>
      </w:r>
      <w:r>
        <w:t>läums) im herkömmlichen Umfang kann allgemein als stillschweigend genehmigt angesehen werden.</w:t>
      </w:r>
    </w:p>
    <w:p w:rsidR="005D0E3B" w:rsidRDefault="005D0E3B" w:rsidP="005D0E3B">
      <w:pPr>
        <w:ind w:left="284" w:hanging="284"/>
      </w:pPr>
      <w:r>
        <w:t>6.</w:t>
      </w:r>
      <w:r>
        <w:tab/>
        <w:t>Vorbehaltlich der Regelungen in Nr. 8 gilt das Gleiche für übliche und angemessene Bewirtung bei allgemeinen Veranstaltungen, an denen Beamtinnen und Beamte im Rahmen ihres Amts, in dienstlichem Auftrag oder mit Rücksicht auf die ihnen d</w:t>
      </w:r>
      <w:r>
        <w:t>urch ihr Amt auferlegten gesell</w:t>
      </w:r>
      <w:r>
        <w:t>schaftlichen Verpflichtungen teilnehmen, z.B. Einführung und Verabschiedung vo</w:t>
      </w:r>
      <w:r>
        <w:t>n Amtspersonen, offizielle Emp</w:t>
      </w:r>
      <w:r>
        <w:t xml:space="preserve">fänge, gesellschaftliche Veranstaltungen die der Pflege dienstlicher Interessen </w:t>
      </w:r>
      <w:r>
        <w:t>dienen, Jubiläen, Grundsteinle</w:t>
      </w:r>
      <w:r>
        <w:t>gungen, Richtfeste, Ein</w:t>
      </w:r>
      <w:r>
        <w:t>weihungen, Eröffnungen von Aus</w:t>
      </w:r>
      <w:r>
        <w:t>stellungen, Betriebsbesichtigungen sowie Sitzungen von Organen wirtschaftlicher Unternehmungen, an denen die öffentliche Hand beteiligt ist.</w:t>
      </w:r>
    </w:p>
    <w:p w:rsidR="005D0E3B" w:rsidRDefault="005D0E3B" w:rsidP="005D0E3B">
      <w:pPr>
        <w:ind w:left="284" w:hanging="284"/>
      </w:pPr>
      <w:r>
        <w:t>7.</w:t>
      </w:r>
      <w:r>
        <w:tab/>
        <w:t>Die gesellschaftliche Ve</w:t>
      </w:r>
      <w:r>
        <w:t>rtretung einer Behörde be</w:t>
      </w:r>
      <w:r>
        <w:t>schränkt sich auf die Behö</w:t>
      </w:r>
      <w:r>
        <w:t>rdenleitung und die von ihr be</w:t>
      </w:r>
      <w:r>
        <w:t>auftragten Mitarbeiterinnen und Mitarbeiter.</w:t>
      </w:r>
    </w:p>
    <w:p w:rsidR="005D0E3B" w:rsidRDefault="005D0E3B" w:rsidP="005D0E3B">
      <w:pPr>
        <w:ind w:left="284" w:hanging="284"/>
      </w:pPr>
      <w:r>
        <w:t>8.</w:t>
      </w:r>
      <w:r>
        <w:tab/>
        <w:t>Als stillschweigend genehmigt kann auch die Teilnahme an Bewirtungen aus Anlass</w:t>
      </w:r>
      <w:r>
        <w:t xml:space="preserve"> oder bei Gelegenheit dienstli</w:t>
      </w:r>
      <w:r>
        <w:t xml:space="preserve">cher Handlungen, Besprechungen, Besichtigungen oder dergleichen angesehen werden, die der Vorbereitung oder Ausführung bestimmter Maßnahmen der Verwaltung dienen, wenn </w:t>
      </w:r>
      <w:r>
        <w:t>sie ihren Grund in den Regeln des Verkehrs und der Höflichkeit haben, denen sich auch Beamtinnen und Beamte nicht entzi</w:t>
      </w:r>
      <w:r>
        <w:t>ehen können, ohne gegen gesell</w:t>
      </w:r>
      <w:r>
        <w:t>schaftliche Formen zu verstoßen. Hierzu gehört auch die Annahme von Vorteilen, die die Durchführung eines Dienstgeschäftes erleichtern oder beschleunigen (z.B. die Abholung einer Beamtin oder eines Beamten mit einem Kraftfahrzeug vom Bahnhof).</w:t>
      </w:r>
    </w:p>
    <w:p w:rsidR="005D0E3B" w:rsidRPr="00D7272C" w:rsidRDefault="00030CA0" w:rsidP="00D7272C">
      <w:pPr>
        <w:pStyle w:val="berschrift1"/>
        <w:spacing w:before="240" w:after="240"/>
        <w:ind w:left="425" w:hanging="425"/>
        <w:rPr>
          <w:rFonts w:ascii="Arial" w:hAnsi="Arial"/>
          <w:b/>
          <w:caps w:val="0"/>
          <w:sz w:val="24"/>
        </w:rPr>
      </w:pPr>
      <w:r w:rsidRPr="00D7272C">
        <w:rPr>
          <w:rFonts w:ascii="Arial" w:hAnsi="Arial"/>
          <w:b/>
          <w:caps w:val="0"/>
          <w:sz w:val="24"/>
        </w:rPr>
        <w:t>IV.</w:t>
      </w:r>
      <w:r w:rsidRPr="00D7272C">
        <w:rPr>
          <w:rFonts w:ascii="Arial" w:hAnsi="Arial"/>
          <w:b/>
          <w:caps w:val="0"/>
          <w:sz w:val="24"/>
        </w:rPr>
        <w:tab/>
      </w:r>
      <w:r w:rsidR="005D0E3B" w:rsidRPr="00D7272C">
        <w:rPr>
          <w:rFonts w:ascii="Arial" w:hAnsi="Arial"/>
          <w:b/>
          <w:caps w:val="0"/>
          <w:sz w:val="24"/>
        </w:rPr>
        <w:t>Rechtslage bei Arbeitnehmerinnen, Arbeitnehmern und Auszubildenden</w:t>
      </w:r>
    </w:p>
    <w:p w:rsidR="005D0E3B" w:rsidRDefault="005D0E3B" w:rsidP="005D0E3B">
      <w:r>
        <w:t>Auch die Arbeitnehme</w:t>
      </w:r>
      <w:r>
        <w:t>rinnen und Arbeitnehmer des öf</w:t>
      </w:r>
      <w:r>
        <w:t>fentlichen Dienstes dürfen Belohnungen oder Geschenke in Bezug auf ihre dienstlichen Tätigkeit</w:t>
      </w:r>
      <w:r>
        <w:t>en nur mit Zu</w:t>
      </w:r>
      <w:r>
        <w:t>stim</w:t>
      </w:r>
      <w:r w:rsidR="00681217">
        <w:t xml:space="preserve">mung des Arbeitgebers annehmen; </w:t>
      </w:r>
      <w:r>
        <w:t>sie haben entsprechende Ang</w:t>
      </w:r>
      <w:r>
        <w:t>ebote unverzüglich und unaufge</w:t>
      </w:r>
      <w:r>
        <w:t>fordert dem Arbeitgeber mitzuteilen (vgl. § 3 Abs. 3 TV-L).</w:t>
      </w:r>
    </w:p>
    <w:p w:rsidR="005D0E3B" w:rsidRDefault="005D0E3B" w:rsidP="005D0E3B">
      <w:r>
        <w:t>Das Gleiche gilt für in Ausbildung stehende Personen, für die ein tarifrechtliches Verbot zur Annahme von Belohnungen oder Geschenken besteht. Die Verle</w:t>
      </w:r>
      <w:r>
        <w:t>tzung dieser Pflichten kann ei</w:t>
      </w:r>
      <w:r>
        <w:t>nen wichtigen Grund zur fris</w:t>
      </w:r>
      <w:r>
        <w:t>tlosen Kündigung des Beschäfti</w:t>
      </w:r>
      <w:r>
        <w:t>gungsverhältnisses darstellen. Soweit Arbeitnehmerinnen und Arbeitnehmer des öffentlichen Dienstes</w:t>
      </w:r>
      <w:r>
        <w:t xml:space="preserve"> zu Dienstverrichtun</w:t>
      </w:r>
      <w:r>
        <w:t>gen bestellt sind, die der W</w:t>
      </w:r>
      <w:r>
        <w:t>ahrnehmung von Aufgaben der öf</w:t>
      </w:r>
      <w:r>
        <w:t>fentlichen Verwaltung dienen</w:t>
      </w:r>
      <w:r>
        <w:t>, sind sie Beamtinnen und Beam</w:t>
      </w:r>
      <w:r>
        <w:t>ten im Sinn des Strafrechts gleichgestellt. Sie werden daher, wenn sie für dienstliche Handlungen Vorteile annehme</w:t>
      </w:r>
      <w:r>
        <w:t>n, for</w:t>
      </w:r>
      <w:r>
        <w:t>dern oder sich versprechen lassen, ebenso wie Beamtinnen und Beamte nach den §§ 331 und 332 StGB bestraft.</w:t>
      </w:r>
    </w:p>
    <w:p w:rsidR="005D0E3B" w:rsidRDefault="005D0E3B" w:rsidP="005D0E3B">
      <w:r>
        <w:t>Den Beamtinnen und Beamten strafrechtlich gleichgestellt sind ferner Arbeitnehmerinnen und Arbeitnehmer des öffentlichen Dienstes, die nach § 1 des Verpflichtungsgesetzes verpflichtet worden sind, bzw. nach § 2 der Verpflichtungsgesetzes diesen Personen gleichgestellt sind; vgl. auch Bekanntmachung des Bayerischen Staatsministeri</w:t>
      </w:r>
      <w:r>
        <w:t>ums der Finanzen vom 19. Febru</w:t>
      </w:r>
      <w:r>
        <w:t xml:space="preserve">ar 1975 betreffend Durchführung des Verpflichtungsgesetzes (StAnz Nr. 9, </w:t>
      </w:r>
      <w:proofErr w:type="spellStart"/>
      <w:r>
        <w:t>FMBl</w:t>
      </w:r>
      <w:proofErr w:type="spellEnd"/>
      <w:r>
        <w:t xml:space="preserve"> S. 110, in der Fassung der FMBek vom 29. Dezember 1980, StAnz 1981 Nr. 1/2, </w:t>
      </w:r>
      <w:proofErr w:type="spellStart"/>
      <w:r>
        <w:t>FMBl</w:t>
      </w:r>
      <w:proofErr w:type="spellEnd"/>
      <w:r>
        <w:t xml:space="preserve"> 1981 S. 56).</w:t>
      </w:r>
    </w:p>
    <w:p w:rsidR="005D0E3B" w:rsidRDefault="005D0E3B" w:rsidP="005D0E3B">
      <w:r>
        <w:lastRenderedPageBreak/>
        <w:t>Die Ausführungen unter Punkt II. Nummer 2 zum Verfall und zur Haftung gelten auch für Arbeitnehmerinnen, Arbeitnehmer und Auszubildende.</w:t>
      </w:r>
    </w:p>
    <w:p w:rsidR="005D0E3B" w:rsidRDefault="005D0E3B" w:rsidP="005D0E3B">
      <w:r>
        <w:t xml:space="preserve">Bei der Handhabung des § 3 Abs. 3 TV-L und entsprechender Bestimmungen sind die unter </w:t>
      </w:r>
      <w:r w:rsidR="00030CA0">
        <w:t>Punkt III. dargestellten Grundsätze sinngemäß anzuwenden.</w:t>
      </w:r>
    </w:p>
    <w:p w:rsidR="005D0E3B" w:rsidRPr="00D7272C" w:rsidRDefault="005D0E3B" w:rsidP="00D7272C">
      <w:pPr>
        <w:pStyle w:val="berschrift1"/>
        <w:spacing w:before="240" w:after="240"/>
        <w:ind w:left="425" w:hanging="425"/>
        <w:rPr>
          <w:rFonts w:ascii="Arial" w:hAnsi="Arial"/>
          <w:b/>
          <w:caps w:val="0"/>
          <w:sz w:val="24"/>
        </w:rPr>
      </w:pPr>
      <w:r w:rsidRPr="00D7272C">
        <w:rPr>
          <w:rFonts w:ascii="Arial" w:hAnsi="Arial"/>
          <w:b/>
          <w:caps w:val="0"/>
          <w:sz w:val="24"/>
        </w:rPr>
        <w:t>V.</w:t>
      </w:r>
      <w:r w:rsidRPr="00D7272C">
        <w:rPr>
          <w:rFonts w:ascii="Arial" w:hAnsi="Arial"/>
          <w:b/>
          <w:caps w:val="0"/>
          <w:sz w:val="24"/>
        </w:rPr>
        <w:tab/>
        <w:t>Aufgaben der oder des Dienstvorgesetzten</w:t>
      </w:r>
    </w:p>
    <w:p w:rsidR="005D0E3B" w:rsidRDefault="005D0E3B" w:rsidP="005D0E3B">
      <w:r>
        <w:t>Die Beamtinnen, Beamten, Arbeitnehmerinnen, Arbeitnehmer und die in Ausbildung stehenden Personen des Freistaates Bayern sind auf die Verpflichtungen hinzuweisen, die sich aus</w:t>
      </w:r>
    </w:p>
    <w:p w:rsidR="005D0E3B" w:rsidRDefault="005D0E3B" w:rsidP="005D0E3B">
      <w:r>
        <w:t>§ 42 BeamtStG oder den entsprechenden tarifvertraglichen Vorschriften ergeben. Die Dienstvorgesetzten haben dafür Sorge zu tragen, daß die B</w:t>
      </w:r>
      <w:r w:rsidR="00030CA0">
        <w:t>ediensteten in regelmäßigen Ab</w:t>
      </w:r>
      <w:r>
        <w:t>ständen über diese Verpflichtung belehrt werden.</w:t>
      </w:r>
    </w:p>
    <w:p w:rsidR="005D0E3B" w:rsidRDefault="005D0E3B" w:rsidP="005D0E3B">
      <w:r>
        <w:t xml:space="preserve">Die Dienstvorgesetzten haben etwaigen Verstößen gegen § 42 BeamtStG und die §§ 331 bis 334 StGB nach Möglichkeit durch geeignete organisatorische und </w:t>
      </w:r>
      <w:r>
        <w:t>personalpol</w:t>
      </w:r>
      <w:r w:rsidR="00030CA0">
        <w:t>itische Maß</w:t>
      </w:r>
      <w:r>
        <w:t>nahmen vorzubeugen (z.B. Pe</w:t>
      </w:r>
      <w:r w:rsidR="00030CA0">
        <w:t>rsonalrotation, „Vieraugenprin</w:t>
      </w:r>
      <w:r>
        <w:t>zip“, unangekündigte Kontro</w:t>
      </w:r>
      <w:r w:rsidR="00030CA0">
        <w:t>llen). Bedienstete, deren wirt</w:t>
      </w:r>
      <w:r>
        <w:t>schaftliche Verhältnisse ni</w:t>
      </w:r>
      <w:r w:rsidR="00030CA0">
        <w:t>cht geordnet sind, sollen im Be</w:t>
      </w:r>
      <w:r>
        <w:t>schaffungswesen sowie auf Dienstposten, auf denen sie der Gefahr einer unlauteren Beeinflussung durch Dritte besonders ausgesetzt sind, nicht beschäftigt werden.</w:t>
      </w:r>
    </w:p>
    <w:p w:rsidR="005D0E3B" w:rsidRPr="00D7272C" w:rsidRDefault="005D0E3B" w:rsidP="00D7272C">
      <w:pPr>
        <w:pStyle w:val="berschrift1"/>
        <w:spacing w:before="240" w:after="240"/>
        <w:ind w:left="425" w:hanging="425"/>
        <w:rPr>
          <w:rFonts w:ascii="Arial" w:hAnsi="Arial"/>
          <w:b/>
          <w:caps w:val="0"/>
          <w:sz w:val="24"/>
        </w:rPr>
      </w:pPr>
      <w:r w:rsidRPr="00D7272C">
        <w:rPr>
          <w:rFonts w:ascii="Arial" w:hAnsi="Arial"/>
          <w:b/>
          <w:caps w:val="0"/>
          <w:sz w:val="24"/>
        </w:rPr>
        <w:t>VI.</w:t>
      </w:r>
      <w:r w:rsidRPr="00D7272C">
        <w:rPr>
          <w:rFonts w:ascii="Arial" w:hAnsi="Arial"/>
          <w:b/>
          <w:caps w:val="0"/>
          <w:sz w:val="24"/>
        </w:rPr>
        <w:tab/>
        <w:t>Ergänzende Anordnungen</w:t>
      </w:r>
    </w:p>
    <w:p w:rsidR="005D0E3B" w:rsidRDefault="005D0E3B" w:rsidP="005D0E3B">
      <w:r>
        <w:t>Die obersten Dienstbehörden können im Benehmen mit dem Staatsministerium der Finanzen ergänzende Anordnungen treffen, insbesondere um speziellen Gegebenheiten in ihren Bereichen oder einzelnen Verwaltungszweigen gerecht zu werden.</w:t>
      </w:r>
    </w:p>
    <w:p w:rsidR="005D0E3B" w:rsidRDefault="005D0E3B" w:rsidP="005D0E3B">
      <w:r>
        <w:t>Den obersten Dienstbehörden wird empfohlen, Bediensteten in bestimmten Aufgabengebiet</w:t>
      </w:r>
      <w:r w:rsidR="00030CA0">
        <w:t>en (z. B. Vergabe, Beschaffungs</w:t>
      </w:r>
      <w:r>
        <w:t>wesen), in denen besondere Gefährdungen gesehen werden, für bestimmte Zeiträume a</w:t>
      </w:r>
      <w:r w:rsidR="00030CA0">
        <w:t>ufzugeben, Zuwendungen von Per</w:t>
      </w:r>
      <w:r>
        <w:t>sonen, mit deren Angelegenheiten die Bediensteten dienstlich befasst sind, schriftlich anzuzeigen.</w:t>
      </w:r>
    </w:p>
    <w:p w:rsidR="00D7272C" w:rsidRDefault="00D7272C" w:rsidP="005D0E3B">
      <w:pPr>
        <w:sectPr w:rsidR="00D7272C" w:rsidSect="001165C3">
          <w:headerReference w:type="even" r:id="rId7"/>
          <w:headerReference w:type="default" r:id="rId8"/>
          <w:footerReference w:type="even" r:id="rId9"/>
          <w:footerReference w:type="default" r:id="rId10"/>
          <w:headerReference w:type="first" r:id="rId11"/>
          <w:footerReference w:type="first" r:id="rId12"/>
          <w:pgSz w:w="11906" w:h="16838"/>
          <w:pgMar w:top="709" w:right="849" w:bottom="1134" w:left="851" w:header="708" w:footer="708" w:gutter="0"/>
          <w:cols w:num="2" w:space="708"/>
          <w:titlePg/>
          <w:docGrid w:linePitch="360"/>
        </w:sectPr>
      </w:pPr>
    </w:p>
    <w:p w:rsidR="005D0E3B" w:rsidRPr="00681217" w:rsidRDefault="005D0E3B" w:rsidP="00681217">
      <w:pPr>
        <w:spacing w:before="480"/>
        <w:jc w:val="center"/>
        <w:rPr>
          <w:b/>
          <w:sz w:val="28"/>
          <w:szCs w:val="28"/>
        </w:rPr>
      </w:pPr>
      <w:r w:rsidRPr="00681217">
        <w:rPr>
          <w:b/>
          <w:sz w:val="28"/>
          <w:szCs w:val="28"/>
        </w:rPr>
        <w:t>Erklärung</w:t>
      </w:r>
    </w:p>
    <w:p w:rsidR="005D0E3B" w:rsidRDefault="005D0E3B" w:rsidP="00681217">
      <w:pPr>
        <w:ind w:left="-567"/>
      </w:pPr>
      <w:r w:rsidRPr="00681217">
        <w:rPr>
          <w:sz w:val="24"/>
          <w:szCs w:val="24"/>
        </w:rPr>
        <w:t>Ich bestätige hiermit, dass ich von dem vorstehenden Merkblatt durch Aushändigung eines Abdruckes Kenntnis erhalten habe</w:t>
      </w:r>
      <w:r>
        <w:t>.</w:t>
      </w:r>
    </w:p>
    <w:p w:rsidR="005D0E3B" w:rsidRDefault="00681217" w:rsidP="00681217">
      <w:pPr>
        <w:tabs>
          <w:tab w:val="left" w:pos="4820"/>
        </w:tabs>
        <w:spacing w:before="720"/>
        <w:ind w:left="-567"/>
      </w:pPr>
      <w:bookmarkStart w:id="0" w:name="_GoBack"/>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-357629</wp:posOffset>
                </wp:positionH>
                <wp:positionV relativeFrom="paragraph">
                  <wp:posOffset>312263</wp:posOffset>
                </wp:positionV>
                <wp:extent cx="2945501" cy="0"/>
                <wp:effectExtent l="0" t="0" r="26670" b="19050"/>
                <wp:wrapNone/>
                <wp:docPr id="1" name="Gerader Verbinder 1" descr="Linie für Ort und Datum" title="Linie für Ort und Datum"/>
                <wp:cNvGraphicFramePr/>
                <a:graphic xmlns:a="http://schemas.openxmlformats.org/drawingml/2006/main">
                  <a:graphicData uri="http://schemas.microsoft.com/office/word/2010/wordprocessingShape">
                    <wps:wsp>
                      <wps:cNvCnPr/>
                      <wps:spPr>
                        <a:xfrm>
                          <a:off x="0" y="0"/>
                          <a:ext cx="294550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24562" id="Gerader Verbinder 1" o:spid="_x0000_s1026" alt="Titel: Linie für Ort und Datum - Beschreibung: Linie für Ort und Datum"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24.6pt" to="203.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" strokecolor="black [3213]" strokeweight="1.5pt">
                <v:stroke joinstyle="miter"/>
              </v:line>
            </w:pict>
          </mc:Fallback>
        </mc:AlternateContent>
      </w:r>
      <w:bookmarkEnd w:id="0"/>
      <w:r>
        <w:rPr>
          <w:noProof/>
          <w:lang w:eastAsia="de-DE"/>
        </w:rPr>
        <mc:AlternateContent>
          <mc:Choice Requires="wps">
            <w:drawing>
              <wp:anchor distT="0" distB="0" distL="114300" distR="114300" simplePos="0" relativeHeight="251661312" behindDoc="0" locked="0" layoutInCell="1" allowOverlap="1" wp14:anchorId="37BC8C58" wp14:editId="5760E62F">
                <wp:simplePos x="0" y="0"/>
                <wp:positionH relativeFrom="column">
                  <wp:posOffset>3049118</wp:posOffset>
                </wp:positionH>
                <wp:positionV relativeFrom="paragraph">
                  <wp:posOffset>304171</wp:posOffset>
                </wp:positionV>
                <wp:extent cx="2816029" cy="8092"/>
                <wp:effectExtent l="0" t="0" r="22860" b="30480"/>
                <wp:wrapNone/>
                <wp:docPr id="2" name="Gerader Verbinder 2" descr="Linie für Unterschrift" title="Linie für Unterschrift"/>
                <wp:cNvGraphicFramePr/>
                <a:graphic xmlns:a="http://schemas.openxmlformats.org/drawingml/2006/main">
                  <a:graphicData uri="http://schemas.microsoft.com/office/word/2010/wordprocessingShape">
                    <wps:wsp>
                      <wps:cNvCnPr/>
                      <wps:spPr>
                        <a:xfrm>
                          <a:off x="0" y="0"/>
                          <a:ext cx="2816029" cy="809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42B1C" id="Gerader Verbinder 2" o:spid="_x0000_s1026" alt="Titel: Linie für Unterschrift - Beschreibung: Linie für Unterschrif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1pt,23.95pt" to="461.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" strokecolor="black [3213]" strokeweight="1.5pt">
                <v:stroke joinstyle="miter"/>
              </v:line>
            </w:pict>
          </mc:Fallback>
        </mc:AlternateContent>
      </w:r>
      <w:r w:rsidR="005D0E3B">
        <w:t>Ort, Datum</w:t>
      </w:r>
      <w:r w:rsidR="005D0E3B">
        <w:tab/>
        <w:t>Unterschrift</w:t>
      </w:r>
    </w:p>
    <w:sectPr w:rsidR="005D0E3B" w:rsidSect="00681217">
      <w:type w:val="continuous"/>
      <w:pgSz w:w="11906" w:h="16838"/>
      <w:pgMar w:top="2127" w:right="70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2C" w:rsidRDefault="00D7272C" w:rsidP="00D7272C">
      <w:pPr>
        <w:spacing w:after="0" w:line="240" w:lineRule="auto"/>
      </w:pPr>
      <w:r>
        <w:separator/>
      </w:r>
    </w:p>
  </w:endnote>
  <w:endnote w:type="continuationSeparator" w:id="0">
    <w:p w:rsidR="00D7272C" w:rsidRDefault="00D7272C" w:rsidP="00D7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A9" w:rsidRDefault="007B08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7" w:rsidRPr="00681217" w:rsidRDefault="00681217" w:rsidP="00681217">
    <w:pPr>
      <w:pStyle w:val="Textkrper"/>
      <w:spacing w:before="206"/>
      <w:rPr>
        <w:rFonts w:ascii="Arial" w:hAnsi="Arial" w:cs="Arial"/>
        <w:lang w:val="de-DE"/>
      </w:rPr>
    </w:pPr>
    <w:r w:rsidRPr="00681217">
      <w:rPr>
        <w:rFonts w:ascii="Arial" w:hAnsi="Arial" w:cs="Arial"/>
        <w:lang w:val="de-DE"/>
      </w:rPr>
      <w:t>A1025 Merkblatt über das Verbot der Annahme von Belohnungen; Stand: 18.11.2009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7" w:rsidRPr="00681217" w:rsidRDefault="00681217" w:rsidP="00681217">
    <w:pPr>
      <w:pStyle w:val="Textkrper"/>
      <w:spacing w:before="206"/>
      <w:rPr>
        <w:rFonts w:ascii="Arial" w:hAnsi="Arial" w:cs="Arial"/>
        <w:lang w:val="de-DE"/>
      </w:rPr>
    </w:pPr>
    <w:r w:rsidRPr="00681217">
      <w:rPr>
        <w:rFonts w:ascii="Arial" w:hAnsi="Arial" w:cs="Arial"/>
        <w:lang w:val="de-DE"/>
      </w:rPr>
      <w:t>A1025 Merkblatt über das Verbot der Annahme von Belohnungen; Stand: 18.11.2009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2C" w:rsidRDefault="00D7272C" w:rsidP="00D7272C">
      <w:pPr>
        <w:spacing w:after="0" w:line="240" w:lineRule="auto"/>
      </w:pPr>
      <w:r>
        <w:separator/>
      </w:r>
    </w:p>
  </w:footnote>
  <w:footnote w:type="continuationSeparator" w:id="0">
    <w:p w:rsidR="00D7272C" w:rsidRDefault="00D7272C" w:rsidP="00D72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A9" w:rsidRDefault="007B08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A9" w:rsidRDefault="007B08A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72C" w:rsidRPr="00D7272C" w:rsidRDefault="001165C3" w:rsidP="001165C3">
    <w:pPr>
      <w:tabs>
        <w:tab w:val="center" w:pos="5103"/>
        <w:tab w:val="left" w:pos="5989"/>
      </w:tabs>
      <w:spacing w:after="0" w:line="240" w:lineRule="auto"/>
      <w:rPr>
        <w:b/>
      </w:rPr>
    </w:pPr>
    <w:r>
      <w:rPr>
        <w:b/>
      </w:rPr>
      <w:tab/>
    </w:r>
    <w:r w:rsidR="00D7272C" w:rsidRPr="00D7272C">
      <w:rPr>
        <w:b/>
      </w:rPr>
      <w:t>Merkblatt</w:t>
    </w:r>
    <w:r>
      <w:rPr>
        <w:b/>
      </w:rPr>
      <w:tab/>
    </w:r>
  </w:p>
  <w:p w:rsidR="00D7272C" w:rsidRDefault="00D7272C" w:rsidP="00D7272C">
    <w:pPr>
      <w:spacing w:after="0" w:line="240" w:lineRule="auto"/>
      <w:jc w:val="center"/>
    </w:pPr>
    <w:r>
      <w:t>über das</w:t>
    </w:r>
  </w:p>
  <w:p w:rsidR="00D7272C" w:rsidRPr="00D7272C" w:rsidRDefault="00D7272C" w:rsidP="001165C3">
    <w:pPr>
      <w:pStyle w:val="Titel"/>
      <w:spacing w:after="360"/>
      <w:rPr>
        <w:rFonts w:ascii="Arial" w:hAnsi="Arial"/>
        <w:b/>
        <w:caps w:val="0"/>
        <w:sz w:val="28"/>
        <w:szCs w:val="28"/>
      </w:rPr>
    </w:pPr>
    <w:r w:rsidRPr="00D7272C">
      <w:rPr>
        <w:rFonts w:ascii="Arial" w:hAnsi="Arial"/>
        <w:b/>
        <w:caps w:val="0"/>
        <w:sz w:val="28"/>
        <w:szCs w:val="28"/>
      </w:rPr>
      <w:t xml:space="preserve">Verbot der Annahme von Belohnungen oder Geschenken </w:t>
    </w:r>
    <w:r>
      <w:rPr>
        <w:rFonts w:ascii="Arial" w:hAnsi="Arial"/>
        <w:b/>
        <w:caps w:val="0"/>
        <w:sz w:val="28"/>
        <w:szCs w:val="28"/>
      </w:rPr>
      <w:br/>
    </w:r>
    <w:r w:rsidRPr="00D7272C">
      <w:rPr>
        <w:rFonts w:ascii="Arial" w:hAnsi="Arial"/>
        <w:b/>
        <w:caps w:val="0"/>
        <w:sz w:val="28"/>
        <w:szCs w:val="28"/>
      </w:rPr>
      <w:t>durch die Bediensteten des Freistaates Bayern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3055C"/>
    <w:multiLevelType w:val="hybridMultilevel"/>
    <w:tmpl w:val="A9E0758A"/>
    <w:lvl w:ilvl="0" w:tplc="2998F84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8143DB"/>
    <w:multiLevelType w:val="hybridMultilevel"/>
    <w:tmpl w:val="EFF66C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embedTrueType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3B"/>
    <w:rsid w:val="00030CA0"/>
    <w:rsid w:val="001165C3"/>
    <w:rsid w:val="002971BF"/>
    <w:rsid w:val="002B0044"/>
    <w:rsid w:val="00441293"/>
    <w:rsid w:val="005D0E3B"/>
    <w:rsid w:val="00681217"/>
    <w:rsid w:val="007B08A9"/>
    <w:rsid w:val="00A062CC"/>
    <w:rsid w:val="00D70888"/>
    <w:rsid w:val="00D7272C"/>
    <w:rsid w:val="00EA031F"/>
    <w:rsid w:val="00FE23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962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23B9"/>
  </w:style>
  <w:style w:type="paragraph" w:styleId="berschrift1">
    <w:name w:val="heading 1"/>
    <w:basedOn w:val="Standard"/>
    <w:next w:val="Standard"/>
    <w:link w:val="berschrift1Zchn"/>
    <w:uiPriority w:val="9"/>
    <w:qFormat/>
    <w:rsid w:val="00FE23B9"/>
    <w:pPr>
      <w:keepNext/>
      <w:keepLines/>
      <w:spacing w:before="400" w:after="40" w:line="240" w:lineRule="auto"/>
      <w:outlineLvl w:val="0"/>
    </w:pPr>
    <w:rPr>
      <w:rFonts w:asciiTheme="majorHAnsi" w:eastAsiaTheme="majorEastAsia" w:hAnsiTheme="majorHAnsi" w:cstheme="majorBidi"/>
      <w:caps/>
      <w:szCs w:val="36"/>
    </w:rPr>
  </w:style>
  <w:style w:type="paragraph" w:styleId="berschrift2">
    <w:name w:val="heading 2"/>
    <w:basedOn w:val="Standard"/>
    <w:next w:val="Standard"/>
    <w:link w:val="berschrift2Zchn"/>
    <w:uiPriority w:val="9"/>
    <w:unhideWhenUsed/>
    <w:qFormat/>
    <w:rsid w:val="00FE23B9"/>
    <w:pPr>
      <w:keepNext/>
      <w:keepLines/>
      <w:spacing w:before="120" w:after="0" w:line="240" w:lineRule="auto"/>
      <w:outlineLvl w:val="1"/>
    </w:pPr>
    <w:rPr>
      <w:rFonts w:asciiTheme="majorHAnsi" w:eastAsiaTheme="majorEastAsia" w:hAnsiTheme="majorHAnsi" w:cstheme="majorBidi"/>
      <w:caps/>
      <w:szCs w:val="28"/>
    </w:rPr>
  </w:style>
  <w:style w:type="paragraph" w:styleId="berschrift3">
    <w:name w:val="heading 3"/>
    <w:basedOn w:val="Standard"/>
    <w:next w:val="Standard"/>
    <w:link w:val="berschrift3Zchn"/>
    <w:uiPriority w:val="9"/>
    <w:semiHidden/>
    <w:unhideWhenUsed/>
    <w:qFormat/>
    <w:rsid w:val="00FE23B9"/>
    <w:pPr>
      <w:keepNext/>
      <w:keepLines/>
      <w:spacing w:before="120" w:after="0" w:line="240" w:lineRule="auto"/>
      <w:outlineLvl w:val="2"/>
    </w:pPr>
    <w:rPr>
      <w:rFonts w:asciiTheme="majorHAnsi" w:eastAsiaTheme="majorEastAsia" w:hAnsiTheme="majorHAnsi" w:cstheme="majorBidi"/>
      <w:smallCaps/>
      <w:szCs w:val="28"/>
    </w:rPr>
  </w:style>
  <w:style w:type="paragraph" w:styleId="berschrift4">
    <w:name w:val="heading 4"/>
    <w:basedOn w:val="Standard"/>
    <w:next w:val="Standard"/>
    <w:link w:val="berschrift4Zchn"/>
    <w:uiPriority w:val="9"/>
    <w:semiHidden/>
    <w:unhideWhenUsed/>
    <w:qFormat/>
    <w:rsid w:val="00FE23B9"/>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FE23B9"/>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FE23B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FE23B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FE23B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FE23B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23B9"/>
    <w:rPr>
      <w:rFonts w:asciiTheme="majorHAnsi" w:eastAsiaTheme="majorEastAsia" w:hAnsiTheme="majorHAnsi" w:cstheme="majorBidi"/>
      <w:caps/>
      <w:szCs w:val="36"/>
    </w:rPr>
  </w:style>
  <w:style w:type="character" w:customStyle="1" w:styleId="berschrift2Zchn">
    <w:name w:val="Überschrift 2 Zchn"/>
    <w:basedOn w:val="Absatz-Standardschriftart"/>
    <w:link w:val="berschrift2"/>
    <w:uiPriority w:val="9"/>
    <w:rsid w:val="00FE23B9"/>
    <w:rPr>
      <w:rFonts w:asciiTheme="majorHAnsi" w:eastAsiaTheme="majorEastAsia" w:hAnsiTheme="majorHAnsi" w:cstheme="majorBidi"/>
      <w:caps/>
      <w:szCs w:val="28"/>
    </w:rPr>
  </w:style>
  <w:style w:type="character" w:customStyle="1" w:styleId="berschrift3Zchn">
    <w:name w:val="Überschrift 3 Zchn"/>
    <w:basedOn w:val="Absatz-Standardschriftart"/>
    <w:link w:val="berschrift3"/>
    <w:uiPriority w:val="9"/>
    <w:semiHidden/>
    <w:rsid w:val="00FE23B9"/>
    <w:rPr>
      <w:rFonts w:asciiTheme="majorHAnsi" w:eastAsiaTheme="majorEastAsia" w:hAnsiTheme="majorHAnsi" w:cstheme="majorBidi"/>
      <w:smallCaps/>
      <w:szCs w:val="28"/>
    </w:rPr>
  </w:style>
  <w:style w:type="character" w:customStyle="1" w:styleId="berschrift4Zchn">
    <w:name w:val="Überschrift 4 Zchn"/>
    <w:basedOn w:val="Absatz-Standardschriftart"/>
    <w:link w:val="berschrift4"/>
    <w:uiPriority w:val="9"/>
    <w:semiHidden/>
    <w:rsid w:val="00FE23B9"/>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FE23B9"/>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FE23B9"/>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FE23B9"/>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FE23B9"/>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FE23B9"/>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FE23B9"/>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FE23B9"/>
    <w:pPr>
      <w:spacing w:after="0" w:line="240" w:lineRule="auto"/>
      <w:contextualSpacing/>
      <w:jc w:val="center"/>
    </w:pPr>
    <w:rPr>
      <w:rFonts w:asciiTheme="majorHAnsi" w:eastAsiaTheme="majorEastAsia" w:hAnsiTheme="majorHAnsi" w:cstheme="majorBidi"/>
      <w:caps/>
      <w:spacing w:val="-10"/>
      <w:sz w:val="24"/>
      <w:szCs w:val="72"/>
    </w:rPr>
  </w:style>
  <w:style w:type="character" w:customStyle="1" w:styleId="TitelZchn">
    <w:name w:val="Titel Zchn"/>
    <w:basedOn w:val="Absatz-Standardschriftart"/>
    <w:link w:val="Titel"/>
    <w:uiPriority w:val="10"/>
    <w:rsid w:val="00FE23B9"/>
    <w:rPr>
      <w:rFonts w:asciiTheme="majorHAnsi" w:eastAsiaTheme="majorEastAsia" w:hAnsiTheme="majorHAnsi" w:cstheme="majorBidi"/>
      <w:caps/>
      <w:spacing w:val="-10"/>
      <w:sz w:val="24"/>
      <w:szCs w:val="72"/>
    </w:rPr>
  </w:style>
  <w:style w:type="paragraph" w:styleId="Untertitel">
    <w:name w:val="Subtitle"/>
    <w:basedOn w:val="Standard"/>
    <w:next w:val="Standard"/>
    <w:link w:val="UntertitelZchn"/>
    <w:uiPriority w:val="11"/>
    <w:qFormat/>
    <w:rsid w:val="00FE23B9"/>
    <w:pPr>
      <w:numPr>
        <w:ilvl w:val="1"/>
      </w:numPr>
    </w:pPr>
    <w:rPr>
      <w:rFonts w:asciiTheme="majorHAnsi" w:eastAsiaTheme="majorEastAsia" w:hAnsiTheme="majorHAnsi" w:cstheme="majorBidi"/>
      <w:smallCaps/>
      <w:sz w:val="24"/>
      <w:szCs w:val="28"/>
    </w:rPr>
  </w:style>
  <w:style w:type="character" w:customStyle="1" w:styleId="UntertitelZchn">
    <w:name w:val="Untertitel Zchn"/>
    <w:basedOn w:val="Absatz-Standardschriftart"/>
    <w:link w:val="Untertitel"/>
    <w:uiPriority w:val="11"/>
    <w:rsid w:val="00FE23B9"/>
    <w:rPr>
      <w:rFonts w:asciiTheme="majorHAnsi" w:eastAsiaTheme="majorEastAsia" w:hAnsiTheme="majorHAnsi" w:cstheme="majorBidi"/>
      <w:smallCaps/>
      <w:sz w:val="24"/>
      <w:szCs w:val="28"/>
    </w:rPr>
  </w:style>
  <w:style w:type="character" w:styleId="Fett">
    <w:name w:val="Strong"/>
    <w:basedOn w:val="Absatz-Standardschriftart"/>
    <w:uiPriority w:val="22"/>
    <w:qFormat/>
    <w:rsid w:val="00FE23B9"/>
    <w:rPr>
      <w:b/>
      <w:bCs/>
    </w:rPr>
  </w:style>
  <w:style w:type="character" w:styleId="Hervorhebung">
    <w:name w:val="Emphasis"/>
    <w:basedOn w:val="Absatz-Standardschriftart"/>
    <w:uiPriority w:val="20"/>
    <w:qFormat/>
    <w:rsid w:val="00FE23B9"/>
    <w:rPr>
      <w:i/>
      <w:iCs/>
    </w:rPr>
  </w:style>
  <w:style w:type="paragraph" w:styleId="KeinLeerraum">
    <w:name w:val="No Spacing"/>
    <w:uiPriority w:val="1"/>
    <w:qFormat/>
    <w:rsid w:val="00FE23B9"/>
    <w:pPr>
      <w:spacing w:after="0" w:line="240" w:lineRule="auto"/>
    </w:pPr>
  </w:style>
  <w:style w:type="paragraph" w:styleId="Listenabsatz">
    <w:name w:val="List Paragraph"/>
    <w:basedOn w:val="Standard"/>
    <w:uiPriority w:val="34"/>
    <w:qFormat/>
    <w:rsid w:val="00FE23B9"/>
    <w:pPr>
      <w:ind w:left="720"/>
      <w:contextualSpacing/>
    </w:pPr>
  </w:style>
  <w:style w:type="paragraph" w:styleId="Zitat">
    <w:name w:val="Quote"/>
    <w:basedOn w:val="Standard"/>
    <w:next w:val="Standard"/>
    <w:link w:val="ZitatZchn"/>
    <w:uiPriority w:val="29"/>
    <w:qFormat/>
    <w:rsid w:val="00FE23B9"/>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FE23B9"/>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FE23B9"/>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FE23B9"/>
    <w:rPr>
      <w:color w:val="404040" w:themeColor="text1" w:themeTint="BF"/>
      <w:sz w:val="32"/>
      <w:szCs w:val="32"/>
    </w:rPr>
  </w:style>
  <w:style w:type="character" w:styleId="SchwacheHervorhebung">
    <w:name w:val="Subtle Emphasis"/>
    <w:basedOn w:val="Absatz-Standardschriftart"/>
    <w:uiPriority w:val="19"/>
    <w:qFormat/>
    <w:rsid w:val="00FE23B9"/>
    <w:rPr>
      <w:i/>
      <w:iCs/>
      <w:color w:val="595959" w:themeColor="text1" w:themeTint="A6"/>
    </w:rPr>
  </w:style>
  <w:style w:type="character" w:styleId="IntensiveHervorhebung">
    <w:name w:val="Intense Emphasis"/>
    <w:basedOn w:val="Absatz-Standardschriftart"/>
    <w:uiPriority w:val="21"/>
    <w:qFormat/>
    <w:rsid w:val="00FE23B9"/>
    <w:rPr>
      <w:b/>
      <w:bCs/>
      <w:i/>
      <w:iCs/>
    </w:rPr>
  </w:style>
  <w:style w:type="character" w:styleId="SchwacherVerweis">
    <w:name w:val="Subtle Reference"/>
    <w:basedOn w:val="Absatz-Standardschriftart"/>
    <w:uiPriority w:val="31"/>
    <w:qFormat/>
    <w:rsid w:val="00FE23B9"/>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FE23B9"/>
    <w:rPr>
      <w:b/>
      <w:bCs/>
      <w:caps w:val="0"/>
      <w:smallCaps/>
      <w:color w:val="auto"/>
      <w:spacing w:val="3"/>
      <w:u w:val="single"/>
    </w:rPr>
  </w:style>
  <w:style w:type="character" w:styleId="Buchtitel">
    <w:name w:val="Book Title"/>
    <w:basedOn w:val="Absatz-Standardschriftart"/>
    <w:uiPriority w:val="33"/>
    <w:qFormat/>
    <w:rsid w:val="00FE23B9"/>
    <w:rPr>
      <w:b/>
      <w:bCs/>
      <w:smallCaps/>
      <w:spacing w:val="7"/>
    </w:rPr>
  </w:style>
  <w:style w:type="paragraph" w:styleId="Inhaltsverzeichnisberschrift">
    <w:name w:val="TOC Heading"/>
    <w:basedOn w:val="berschrift1"/>
    <w:next w:val="Standard"/>
    <w:uiPriority w:val="39"/>
    <w:semiHidden/>
    <w:unhideWhenUsed/>
    <w:qFormat/>
    <w:rsid w:val="00FE23B9"/>
    <w:pPr>
      <w:outlineLvl w:val="9"/>
    </w:pPr>
  </w:style>
  <w:style w:type="paragraph" w:styleId="Kopfzeile">
    <w:name w:val="header"/>
    <w:basedOn w:val="Standard"/>
    <w:link w:val="KopfzeileZchn"/>
    <w:uiPriority w:val="99"/>
    <w:unhideWhenUsed/>
    <w:rsid w:val="00D72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272C"/>
  </w:style>
  <w:style w:type="paragraph" w:styleId="Fuzeile">
    <w:name w:val="footer"/>
    <w:basedOn w:val="Standard"/>
    <w:link w:val="FuzeileZchn"/>
    <w:uiPriority w:val="99"/>
    <w:unhideWhenUsed/>
    <w:rsid w:val="00D72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272C"/>
  </w:style>
  <w:style w:type="paragraph" w:styleId="Textkrper">
    <w:name w:val="Body Text"/>
    <w:basedOn w:val="Standard"/>
    <w:link w:val="TextkrperZchn"/>
    <w:uiPriority w:val="1"/>
    <w:qFormat/>
    <w:rsid w:val="00681217"/>
    <w:pPr>
      <w:widowControl w:val="0"/>
      <w:autoSpaceDE w:val="0"/>
      <w:autoSpaceDN w:val="0"/>
      <w:spacing w:before="2" w:after="0" w:line="240" w:lineRule="auto"/>
    </w:pPr>
    <w:rPr>
      <w:rFonts w:ascii="Times New Roman" w:eastAsia="Times New Roman" w:hAnsi="Times New Roman" w:cs="Times New Roman"/>
      <w:sz w:val="18"/>
      <w:szCs w:val="18"/>
      <w:lang w:val="en-US"/>
    </w:rPr>
  </w:style>
  <w:style w:type="character" w:customStyle="1" w:styleId="TextkrperZchn">
    <w:name w:val="Textkörper Zchn"/>
    <w:basedOn w:val="Absatz-Standardschriftart"/>
    <w:link w:val="Textkrper"/>
    <w:uiPriority w:val="1"/>
    <w:rsid w:val="00681217"/>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11476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Verbot der Annahme von Belohnungen oder Geschenke durch die Bediensteten des Freistaates Bayern</dc:title>
  <dc:subject/>
  <dc:creator/>
  <cp:keywords>Rechtslage bei Beamten, Rechtsfolgen, Erläuterungen, Rechtslage bei Arbeitnehmerinnen und Arbeitnehmern und Auszubildenden, Aufgaben der oderr des Dienstvorgesetzten, Ergänzende Anordnungen</cp:keywords>
  <dc:description>Stand 18.11.2009</dc:description>
  <cp:lastModifiedBy/>
  <cp:revision>1</cp:revision>
  <dcterms:created xsi:type="dcterms:W3CDTF">2021-04-27T08:23:00Z</dcterms:created>
  <dcterms:modified xsi:type="dcterms:W3CDTF">2021-04-27T08:25:00Z</dcterms:modified>
</cp:coreProperties>
</file>